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66F1" w14:textId="77777777" w:rsidR="004D31DA" w:rsidRPr="002C5730" w:rsidRDefault="004D31DA" w:rsidP="004D31DA">
      <w:pPr>
        <w:pStyle w:val="Heading1"/>
        <w:ind w:right="545"/>
        <w:rPr>
          <w:color w:val="1F4E79"/>
        </w:rPr>
      </w:pPr>
      <w:r>
        <w:rPr>
          <w:rStyle w:val="Heading1"/>
          <w:color w:val="1F4E79"/>
        </w:rPr>
        <w:t>Point 1 de l</w:t>
      </w:r>
      <w:r>
        <w:rPr>
          <w:rStyle w:val="Heading1"/>
          <w:rFonts w:cs="Century Gothic"/>
          <w:color w:val="1F4E79"/>
          <w:cs/>
        </w:rPr>
        <w:t>’</w:t>
      </w:r>
      <w:r>
        <w:rPr>
          <w:rStyle w:val="Heading1"/>
          <w:color w:val="1F4E79"/>
        </w:rPr>
        <w:t xml:space="preserve">ordre du jour : </w:t>
      </w:r>
      <w:r w:rsidR="004A485C">
        <w:rPr>
          <w:rStyle w:val="Heading1"/>
          <w:color w:val="1F4E79"/>
        </w:rPr>
        <w:t>s</w:t>
      </w:r>
      <w:r>
        <w:rPr>
          <w:rStyle w:val="Heading1"/>
          <w:color w:val="1F4E79"/>
        </w:rPr>
        <w:t>éance plénière d</w:t>
      </w:r>
      <w:r>
        <w:rPr>
          <w:rStyle w:val="Heading1"/>
          <w:rFonts w:cs="Century Gothic"/>
          <w:color w:val="1F4E79"/>
          <w:cs/>
        </w:rPr>
        <w:t>’</w:t>
      </w:r>
      <w:r>
        <w:rPr>
          <w:rStyle w:val="Heading1"/>
          <w:color w:val="1F4E79"/>
        </w:rPr>
        <w:t>ouverture et aperçu de la réunion</w:t>
      </w:r>
    </w:p>
    <w:p w14:paraId="785BEC70" w14:textId="77777777" w:rsidR="004D31DA" w:rsidRDefault="004D31DA" w:rsidP="004D31DA">
      <w:pPr>
        <w:pStyle w:val="Heading2"/>
      </w:pPr>
      <w:r>
        <w:rPr>
          <w:rStyle w:val="Heading2"/>
        </w:rPr>
        <w:t>Problématique</w:t>
      </w:r>
    </w:p>
    <w:p w14:paraId="798A6A10" w14:textId="77777777" w:rsidR="004D31DA" w:rsidRDefault="004D31DA" w:rsidP="004D31DA">
      <w:pPr>
        <w:pStyle w:val="BodyText"/>
        <w:numPr>
          <w:ilvl w:val="0"/>
          <w:numId w:val="16"/>
        </w:numPr>
        <w:ind w:right="545"/>
      </w:pPr>
      <w:r>
        <w:rPr>
          <w:rStyle w:val="BodyText"/>
        </w:rPr>
        <w:t>Présentations.</w:t>
      </w:r>
    </w:p>
    <w:p w14:paraId="4E13DEDF" w14:textId="77777777" w:rsidR="004D31DA" w:rsidRDefault="004D31DA" w:rsidP="004D31DA">
      <w:pPr>
        <w:pStyle w:val="BodyText"/>
        <w:numPr>
          <w:ilvl w:val="0"/>
          <w:numId w:val="16"/>
        </w:numPr>
        <w:ind w:right="545"/>
      </w:pPr>
      <w:r>
        <w:rPr>
          <w:rStyle w:val="BodyText"/>
        </w:rPr>
        <w:t>Aperçu des réunions.</w:t>
      </w:r>
      <w:bookmarkStart w:id="0" w:name="_GoBack"/>
      <w:bookmarkEnd w:id="0"/>
    </w:p>
    <w:p w14:paraId="6B5A02FA" w14:textId="77777777" w:rsidR="004D31DA" w:rsidRDefault="004D31DA" w:rsidP="004D31DA">
      <w:pPr>
        <w:pStyle w:val="BodyText"/>
        <w:numPr>
          <w:ilvl w:val="0"/>
          <w:numId w:val="16"/>
        </w:numPr>
        <w:ind w:right="545"/>
      </w:pPr>
      <w:r>
        <w:rPr>
          <w:rStyle w:val="BodyText"/>
        </w:rPr>
        <w:t>Élections du GAC.</w:t>
      </w:r>
    </w:p>
    <w:p w14:paraId="77311539" w14:textId="77777777" w:rsidR="004D31DA" w:rsidRDefault="004D31DA" w:rsidP="004D31DA">
      <w:pPr>
        <w:pStyle w:val="Heading2"/>
      </w:pPr>
      <w:r>
        <w:rPr>
          <w:rStyle w:val="Heading2"/>
        </w:rPr>
        <w:t>Action requise de la part du GAC</w:t>
      </w:r>
    </w:p>
    <w:p w14:paraId="310814D5" w14:textId="77777777" w:rsidR="004D31DA" w:rsidRPr="00F60D91" w:rsidRDefault="004D31DA" w:rsidP="004D31DA">
      <w:pPr>
        <w:pStyle w:val="BodyText"/>
        <w:ind w:right="545"/>
        <w:rPr>
          <w:b/>
        </w:rPr>
      </w:pPr>
      <w:r>
        <w:rPr>
          <w:rStyle w:val="BodyText"/>
          <w:b/>
        </w:rPr>
        <w:t>Présentations</w:t>
      </w:r>
    </w:p>
    <w:p w14:paraId="1E14033A" w14:textId="77777777" w:rsidR="004D31DA" w:rsidRDefault="004D31DA" w:rsidP="004D31DA">
      <w:pPr>
        <w:pStyle w:val="BodyText"/>
        <w:ind w:right="545"/>
      </w:pPr>
      <w:r>
        <w:rPr>
          <w:rStyle w:val="BodyText"/>
          <w:i/>
        </w:rPr>
        <w:t>Tour de table</w:t>
      </w:r>
      <w:r>
        <w:rPr>
          <w:rStyle w:val="BodyText"/>
        </w:rPr>
        <w:t xml:space="preserve"> des membres et observateurs du GAC. </w:t>
      </w:r>
    </w:p>
    <w:p w14:paraId="00CC855E" w14:textId="77777777" w:rsidR="004D31DA" w:rsidRPr="00F60D91" w:rsidRDefault="004D31DA" w:rsidP="004D31DA">
      <w:pPr>
        <w:pStyle w:val="BodyText"/>
        <w:ind w:right="545"/>
        <w:rPr>
          <w:b/>
        </w:rPr>
      </w:pPr>
      <w:r>
        <w:rPr>
          <w:rStyle w:val="BodyText"/>
          <w:b/>
        </w:rPr>
        <w:t xml:space="preserve">Aperçu des réunions </w:t>
      </w:r>
    </w:p>
    <w:p w14:paraId="41250A97" w14:textId="77777777" w:rsidR="004D31DA" w:rsidRDefault="004D31DA" w:rsidP="004D31DA">
      <w:pPr>
        <w:pStyle w:val="BodyText"/>
        <w:ind w:right="545"/>
      </w:pPr>
      <w:r>
        <w:rPr>
          <w:rStyle w:val="BodyText"/>
        </w:rPr>
        <w:t>Le GAC indiquera la structure et la durée des :</w:t>
      </w:r>
    </w:p>
    <w:p w14:paraId="45141979" w14:textId="77777777" w:rsidR="004D31DA" w:rsidRDefault="004D31DA" w:rsidP="004D31DA">
      <w:pPr>
        <w:pStyle w:val="BodyText"/>
        <w:numPr>
          <w:ilvl w:val="0"/>
          <w:numId w:val="20"/>
        </w:numPr>
        <w:ind w:right="545"/>
      </w:pPr>
      <w:r>
        <w:rPr>
          <w:rStyle w:val="BodyText"/>
        </w:rPr>
        <w:t>Séances du GAC</w:t>
      </w:r>
    </w:p>
    <w:p w14:paraId="2F221B5D" w14:textId="77777777" w:rsidR="004D31DA" w:rsidRDefault="004D31DA" w:rsidP="004D31DA">
      <w:pPr>
        <w:pStyle w:val="BodyText"/>
        <w:numPr>
          <w:ilvl w:val="0"/>
          <w:numId w:val="20"/>
        </w:numPr>
        <w:ind w:right="545"/>
      </w:pPr>
      <w:r>
        <w:rPr>
          <w:rStyle w:val="BodyText"/>
        </w:rPr>
        <w:t>Séances intercommunautaires, de sujets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actualité</w:t>
      </w:r>
    </w:p>
    <w:p w14:paraId="4A80818C" w14:textId="77777777" w:rsidR="004D31DA" w:rsidRDefault="004A485C" w:rsidP="004D31DA">
      <w:pPr>
        <w:pStyle w:val="BodyText"/>
        <w:ind w:right="545"/>
      </w:pPr>
      <w:r>
        <w:rPr>
          <w:rStyle w:val="BodyText"/>
        </w:rPr>
        <w:t>Et</w:t>
      </w:r>
      <w:r w:rsidR="004D31DA">
        <w:rPr>
          <w:rStyle w:val="BodyText"/>
        </w:rPr>
        <w:t xml:space="preserve"> </w:t>
      </w:r>
      <w:r>
        <w:rPr>
          <w:rStyle w:val="BodyText"/>
        </w:rPr>
        <w:t>identifiera</w:t>
      </w:r>
      <w:r w:rsidR="004D31DA">
        <w:rPr>
          <w:rStyle w:val="BodyText"/>
        </w:rPr>
        <w:t xml:space="preserve"> des questions qui préoccupent les membres du GAC à cet égard.</w:t>
      </w:r>
    </w:p>
    <w:p w14:paraId="3EF6ABA1" w14:textId="77777777" w:rsidR="004D31DA" w:rsidRPr="00644167" w:rsidRDefault="004D31DA" w:rsidP="004D31DA">
      <w:pPr>
        <w:pStyle w:val="BodyText"/>
        <w:ind w:right="545"/>
        <w:rPr>
          <w:b/>
        </w:rPr>
      </w:pPr>
      <w:r>
        <w:rPr>
          <w:rStyle w:val="BodyText"/>
          <w:b/>
        </w:rPr>
        <w:t>Élections du GAC</w:t>
      </w:r>
    </w:p>
    <w:p w14:paraId="18231C2D" w14:textId="77777777" w:rsidR="004D31DA" w:rsidRDefault="004D31DA" w:rsidP="004D31DA">
      <w:pPr>
        <w:pStyle w:val="BodyText"/>
        <w:ind w:right="545"/>
      </w:pPr>
      <w:r>
        <w:rPr>
          <w:rStyle w:val="BodyText"/>
        </w:rPr>
        <w:t>Le GAC prendra note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information fournie par le personnel de soutien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ICANN sur le processus électoral pour président et vice-présidents du GAC qui aura lieu en 2019.</w:t>
      </w:r>
    </w:p>
    <w:p w14:paraId="15FCB847" w14:textId="77777777" w:rsidR="004D31DA" w:rsidRPr="002C5730" w:rsidRDefault="004D31DA" w:rsidP="004D31DA">
      <w:pPr>
        <w:spacing w:line="276" w:lineRule="auto"/>
        <w:rPr>
          <w:rFonts w:ascii="Century Gothic" w:hAnsi="Century Gothic"/>
          <w:color w:val="000000"/>
          <w:sz w:val="20"/>
          <w:szCs w:val="20"/>
          <w:shd w:val="clear" w:color="000000" w:fill="auto"/>
        </w:rPr>
      </w:pPr>
    </w:p>
    <w:p w14:paraId="1B362BAD" w14:textId="77777777" w:rsidR="004D31DA" w:rsidRDefault="004D31DA" w:rsidP="004D31DA">
      <w:pPr>
        <w:pStyle w:val="Heading2"/>
      </w:pPr>
      <w:r>
        <w:rPr>
          <w:rStyle w:val="Heading2"/>
        </w:rPr>
        <w:t>Position actuelle</w:t>
      </w:r>
    </w:p>
    <w:p w14:paraId="083641F3" w14:textId="77777777" w:rsidR="004D31DA" w:rsidRPr="00BC7B05" w:rsidRDefault="004D31DA" w:rsidP="004D31DA">
      <w:pPr>
        <w:pStyle w:val="BodyText"/>
        <w:rPr>
          <w:b/>
        </w:rPr>
      </w:pPr>
      <w:r>
        <w:rPr>
          <w:rStyle w:val="BodyText"/>
          <w:b/>
        </w:rPr>
        <w:t>Présentations</w:t>
      </w:r>
    </w:p>
    <w:p w14:paraId="248CC04D" w14:textId="77777777" w:rsidR="004D31DA" w:rsidRDefault="004D31DA" w:rsidP="004D31DA">
      <w:pPr>
        <w:pStyle w:val="BodyText"/>
      </w:pPr>
      <w:r>
        <w:rPr>
          <w:rStyle w:val="BodyText"/>
        </w:rPr>
        <w:t>Les nouveaux membres et observateurs seront présentés par le président du GAC.</w:t>
      </w:r>
    </w:p>
    <w:p w14:paraId="46BA0637" w14:textId="77777777" w:rsidR="004D31DA" w:rsidRPr="00BC7B05" w:rsidRDefault="004D31DA" w:rsidP="004D31DA">
      <w:pPr>
        <w:pStyle w:val="BodyText"/>
        <w:rPr>
          <w:b/>
        </w:rPr>
      </w:pPr>
      <w:r>
        <w:rPr>
          <w:rStyle w:val="BodyText"/>
          <w:b/>
        </w:rPr>
        <w:t>Séances du GAC</w:t>
      </w:r>
    </w:p>
    <w:p w14:paraId="698D4751" w14:textId="77777777" w:rsidR="004D31DA" w:rsidRDefault="004D31DA" w:rsidP="004D31DA">
      <w:pPr>
        <w:pStyle w:val="BodyText"/>
      </w:pPr>
      <w:r>
        <w:rPr>
          <w:rStyle w:val="BodyText"/>
        </w:rPr>
        <w:t>Les questions clés à aborder par le GAC au cours de cette réunion sont les suivantes :</w:t>
      </w:r>
    </w:p>
    <w:p w14:paraId="6BF5D85F" w14:textId="77777777" w:rsidR="004D31DA" w:rsidRDefault="004D31DA" w:rsidP="004D31DA">
      <w:pPr>
        <w:pStyle w:val="BodyText"/>
        <w:numPr>
          <w:ilvl w:val="0"/>
          <w:numId w:val="25"/>
        </w:numPr>
      </w:pPr>
      <w:r>
        <w:rPr>
          <w:rStyle w:val="BodyText"/>
          <w:b/>
        </w:rPr>
        <w:t>Conformité de l</w:t>
      </w:r>
      <w:r>
        <w:rPr>
          <w:rStyle w:val="BodyText"/>
          <w:rFonts w:cs="Century Gothic"/>
          <w:b/>
          <w:cs/>
        </w:rPr>
        <w:t>’</w:t>
      </w:r>
      <w:r>
        <w:rPr>
          <w:rStyle w:val="BodyText"/>
          <w:b/>
        </w:rPr>
        <w:t>ICANN vis-à-vis du règlement général sur la protection des données</w:t>
      </w:r>
      <w:r>
        <w:rPr>
          <w:rStyle w:val="BodyText"/>
        </w:rPr>
        <w:t xml:space="preserve"> </w:t>
      </w:r>
      <w:r>
        <w:rPr>
          <w:rStyle w:val="BodyText"/>
          <w:b/>
        </w:rPr>
        <w:t>européen</w:t>
      </w:r>
      <w:r>
        <w:rPr>
          <w:rStyle w:val="BodyText"/>
        </w:rPr>
        <w:t xml:space="preserve"> </w:t>
      </w:r>
      <w:r>
        <w:rPr>
          <w:rStyle w:val="BodyText"/>
          <w:b/>
        </w:rPr>
        <w:t>(RGPD)</w:t>
      </w:r>
      <w:r>
        <w:rPr>
          <w:rStyle w:val="BodyText"/>
        </w:rPr>
        <w:t xml:space="preserve"> </w:t>
      </w:r>
      <w:r w:rsidR="004A485C">
        <w:rPr>
          <w:rStyle w:val="BodyText"/>
          <w:rFonts w:cs="Century Gothic"/>
          <w:cs/>
        </w:rPr>
        <w:t>–</w:t>
      </w:r>
      <w:r>
        <w:rPr>
          <w:rStyle w:val="BodyText"/>
        </w:rPr>
        <w:t xml:space="preserve"> en particulier les exigences contractuelles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ICANN concernant les données WHOIS et comment on peut accéder à certaines données. Il y aura des séances du GAC pour aborder cette question ainsi que des séances intercommunautaires.</w:t>
      </w:r>
    </w:p>
    <w:p w14:paraId="517AAE92" w14:textId="77777777" w:rsidR="004D31DA" w:rsidRDefault="004D31DA" w:rsidP="004D31DA">
      <w:pPr>
        <w:pStyle w:val="BodyText"/>
        <w:numPr>
          <w:ilvl w:val="0"/>
          <w:numId w:val="25"/>
        </w:numPr>
      </w:pPr>
      <w:r>
        <w:rPr>
          <w:rStyle w:val="BodyText"/>
          <w:b/>
        </w:rPr>
        <w:t>Noms géographiques au premier niveau</w:t>
      </w:r>
      <w:r>
        <w:rPr>
          <w:rStyle w:val="BodyText"/>
        </w:rPr>
        <w:t xml:space="preserve"> </w:t>
      </w:r>
      <w:r>
        <w:rPr>
          <w:rStyle w:val="BodyText"/>
          <w:rFonts w:cs="Century Gothic"/>
          <w:cs/>
        </w:rPr>
        <w:t xml:space="preserve">– </w:t>
      </w:r>
      <w:r>
        <w:rPr>
          <w:rStyle w:val="BodyText"/>
        </w:rPr>
        <w:t>en particulier, participation du GAC à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élaboration de politiques à travers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élaboration de politiques par le biais de la piste de travail 5 du PDP relatif aux procédures pour des séries ultérieures de nouveaux gTLD. Il y a deux séances de la piste de travail 5 prévues sous la modalité de séances communautaires,</w:t>
      </w:r>
    </w:p>
    <w:p w14:paraId="6A87ECD4" w14:textId="77777777" w:rsidR="004D31DA" w:rsidRPr="00F80F21" w:rsidRDefault="004D31DA" w:rsidP="004D31DA">
      <w:pPr>
        <w:pStyle w:val="BodyText"/>
        <w:rPr>
          <w:b/>
        </w:rPr>
      </w:pPr>
      <w:r>
        <w:rPr>
          <w:rStyle w:val="BodyText"/>
          <w:b/>
        </w:rPr>
        <w:lastRenderedPageBreak/>
        <w:t>Séances intercommunautaires et de sujets d</w:t>
      </w:r>
      <w:r>
        <w:rPr>
          <w:rStyle w:val="BodyText"/>
          <w:rFonts w:cs="Century Gothic"/>
          <w:b/>
          <w:cs/>
        </w:rPr>
        <w:t>’</w:t>
      </w:r>
      <w:r>
        <w:rPr>
          <w:rStyle w:val="BodyText"/>
          <w:b/>
        </w:rPr>
        <w:t>actualité</w:t>
      </w:r>
    </w:p>
    <w:p w14:paraId="7B958064" w14:textId="77777777" w:rsidR="004D31DA" w:rsidRPr="001814B7" w:rsidRDefault="004D31DA" w:rsidP="004D31DA">
      <w:pPr>
        <w:pStyle w:val="BodyText"/>
        <w:rPr>
          <w:u w:val="single"/>
        </w:rPr>
      </w:pPr>
      <w:r>
        <w:rPr>
          <w:rStyle w:val="BodyText"/>
          <w:u w:val="single"/>
        </w:rPr>
        <w:t xml:space="preserve">Lundi 25 juin : </w:t>
      </w:r>
      <w:r w:rsidR="004A485C">
        <w:rPr>
          <w:rStyle w:val="BodyText"/>
          <w:u w:val="single"/>
        </w:rPr>
        <w:t>n</w:t>
      </w:r>
      <w:r>
        <w:rPr>
          <w:rStyle w:val="BodyText"/>
          <w:u w:val="single"/>
        </w:rPr>
        <w:t>oms géographiques au premier niveau (1 sur 2)</w:t>
      </w:r>
    </w:p>
    <w:p w14:paraId="316B7470" w14:textId="77777777" w:rsidR="004D31DA" w:rsidRDefault="004D31DA" w:rsidP="004D31DA">
      <w:pPr>
        <w:pStyle w:val="BodyText"/>
      </w:pPr>
      <w:r>
        <w:rPr>
          <w:rStyle w:val="BodyText"/>
        </w:rPr>
        <w:t>Ce sera une séance de travail de la piste de travail 5 du PDP relatif aux procédures pour des séries ultérieures de nouveaux gTLD.</w:t>
      </w:r>
    </w:p>
    <w:p w14:paraId="025ECD20" w14:textId="77777777" w:rsidR="004D31DA" w:rsidRPr="001814B7" w:rsidRDefault="004D31DA" w:rsidP="004D31DA">
      <w:pPr>
        <w:pStyle w:val="BodyText"/>
        <w:rPr>
          <w:u w:val="single"/>
        </w:rPr>
      </w:pPr>
      <w:r>
        <w:rPr>
          <w:rStyle w:val="BodyText"/>
          <w:u w:val="single"/>
        </w:rPr>
        <w:t xml:space="preserve">Lundi 25 juin : </w:t>
      </w:r>
      <w:r w:rsidR="004A485C">
        <w:rPr>
          <w:rStyle w:val="BodyText"/>
          <w:u w:val="single"/>
        </w:rPr>
        <w:t>d</w:t>
      </w:r>
      <w:r>
        <w:rPr>
          <w:rStyle w:val="BodyText"/>
          <w:u w:val="single"/>
        </w:rPr>
        <w:t>euxième révision du RDS-WHOIS</w:t>
      </w:r>
    </w:p>
    <w:p w14:paraId="09EFEF56" w14:textId="77777777" w:rsidR="004D31DA" w:rsidRDefault="004D31DA" w:rsidP="004D31DA">
      <w:pPr>
        <w:pStyle w:val="BodyText"/>
      </w:pPr>
      <w:r>
        <w:rPr>
          <w:rStyle w:val="BodyText"/>
        </w:rPr>
        <w:t>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équipe de révision du service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annuaire des données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enregistrement 2 (RDS-WHOIS2) présentera à la communauté une mise à jour des résultats jusqu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à ce jour.</w:t>
      </w:r>
    </w:p>
    <w:p w14:paraId="54BD7E40" w14:textId="77777777" w:rsidR="004D31DA" w:rsidRPr="001814B7" w:rsidRDefault="004D31DA" w:rsidP="004D31DA">
      <w:pPr>
        <w:pStyle w:val="BodyText"/>
        <w:rPr>
          <w:u w:val="single"/>
        </w:rPr>
      </w:pPr>
      <w:r>
        <w:rPr>
          <w:rStyle w:val="BodyText"/>
          <w:u w:val="single"/>
        </w:rPr>
        <w:t xml:space="preserve">Mardi 26 juin : </w:t>
      </w:r>
      <w:r w:rsidR="004A485C">
        <w:rPr>
          <w:rStyle w:val="BodyText"/>
          <w:u w:val="single"/>
        </w:rPr>
        <w:t>p</w:t>
      </w:r>
      <w:r>
        <w:rPr>
          <w:rStyle w:val="BodyText"/>
          <w:u w:val="single"/>
        </w:rPr>
        <w:t>olitique du RDS/WHOIS Post RGPD</w:t>
      </w:r>
    </w:p>
    <w:p w14:paraId="04A13D14" w14:textId="77777777" w:rsidR="004D31DA" w:rsidRDefault="004D31DA" w:rsidP="004D31DA">
      <w:pPr>
        <w:pStyle w:val="BodyText"/>
      </w:pPr>
      <w:r>
        <w:rPr>
          <w:rStyle w:val="BodyText"/>
        </w:rPr>
        <w:t>Au cours de cette séance, on examinera la façon de parvenir à une politique de consensus finale pour le RDS/WHOIS.</w:t>
      </w:r>
    </w:p>
    <w:p w14:paraId="38B0D8AC" w14:textId="77777777" w:rsidR="004D31DA" w:rsidRPr="003F6D42" w:rsidRDefault="004D31DA" w:rsidP="004D31DA">
      <w:pPr>
        <w:pStyle w:val="BodyText"/>
        <w:rPr>
          <w:u w:val="single"/>
        </w:rPr>
      </w:pPr>
      <w:r>
        <w:rPr>
          <w:rStyle w:val="BodyText"/>
          <w:u w:val="single"/>
        </w:rPr>
        <w:t xml:space="preserve">Mardi 26 juin : </w:t>
      </w:r>
      <w:r w:rsidR="004A485C">
        <w:rPr>
          <w:rStyle w:val="BodyText"/>
          <w:u w:val="single"/>
        </w:rPr>
        <w:t>a</w:t>
      </w:r>
      <w:r>
        <w:rPr>
          <w:rStyle w:val="BodyText"/>
          <w:u w:val="single"/>
        </w:rPr>
        <w:t>ccréditation et accès aux données WHOIS non publiques Post RGPD</w:t>
      </w:r>
    </w:p>
    <w:p w14:paraId="7374FEFF" w14:textId="77777777" w:rsidR="004D31DA" w:rsidRDefault="004D31DA" w:rsidP="004D31DA">
      <w:pPr>
        <w:pStyle w:val="BodyText"/>
      </w:pPr>
      <w:r>
        <w:rPr>
          <w:rStyle w:val="BodyText"/>
        </w:rPr>
        <w:t>Cette séance permettra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examiner les options pour un régime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accès aux données RDS non publiques.</w:t>
      </w:r>
    </w:p>
    <w:p w14:paraId="6A676589" w14:textId="77777777" w:rsidR="004D31DA" w:rsidRPr="001814B7" w:rsidRDefault="004D31DA" w:rsidP="004D31DA">
      <w:pPr>
        <w:pStyle w:val="BodyText"/>
        <w:rPr>
          <w:u w:val="single"/>
        </w:rPr>
      </w:pPr>
      <w:r>
        <w:rPr>
          <w:rStyle w:val="BodyText"/>
          <w:u w:val="single"/>
        </w:rPr>
        <w:t xml:space="preserve">Mercredi 27 juin : </w:t>
      </w:r>
      <w:r w:rsidR="004A485C">
        <w:rPr>
          <w:rStyle w:val="BodyText"/>
          <w:u w:val="single"/>
        </w:rPr>
        <w:t>r</w:t>
      </w:r>
      <w:r>
        <w:rPr>
          <w:rStyle w:val="BodyText"/>
          <w:u w:val="single"/>
        </w:rPr>
        <w:t>apport final du CCWG-Responsabilité</w:t>
      </w:r>
    </w:p>
    <w:p w14:paraId="1BAF1E00" w14:textId="77777777" w:rsidR="004D31DA" w:rsidRDefault="004D31DA" w:rsidP="004D31DA">
      <w:pPr>
        <w:pStyle w:val="BodyText"/>
      </w:pPr>
      <w:r>
        <w:rPr>
          <w:rStyle w:val="BodyText"/>
        </w:rPr>
        <w:t>Cette séance inclura une présentation et un espace de question/réponses sur le rapport final et les recommandations de la piste de travail 2 du CCWG-Responsabilité.</w:t>
      </w:r>
    </w:p>
    <w:p w14:paraId="281EA8B0" w14:textId="77777777" w:rsidR="004D31DA" w:rsidRDefault="004D31DA" w:rsidP="004D31DA">
      <w:pPr>
        <w:pStyle w:val="BodyText"/>
        <w:rPr>
          <w:u w:val="single"/>
        </w:rPr>
      </w:pPr>
      <w:r>
        <w:rPr>
          <w:rStyle w:val="BodyText"/>
          <w:u w:val="single"/>
        </w:rPr>
        <w:t>Jeudi 28 juin :</w:t>
      </w:r>
      <w:r w:rsidRPr="004A485C">
        <w:rPr>
          <w:rStyle w:val="BodyText"/>
          <w:u w:val="single"/>
        </w:rPr>
        <w:t xml:space="preserve"> </w:t>
      </w:r>
      <w:r w:rsidR="004A485C">
        <w:rPr>
          <w:rStyle w:val="BodyText"/>
          <w:u w:val="single"/>
        </w:rPr>
        <w:t>n</w:t>
      </w:r>
      <w:r>
        <w:rPr>
          <w:rStyle w:val="BodyText"/>
          <w:u w:val="single"/>
        </w:rPr>
        <w:t>oms géographiques au premier niveau (2 sur 2)</w:t>
      </w:r>
    </w:p>
    <w:p w14:paraId="3B3A34BD" w14:textId="77777777" w:rsidR="004D31DA" w:rsidRDefault="004D31DA" w:rsidP="004D31DA">
      <w:pPr>
        <w:pStyle w:val="BodyText"/>
      </w:pPr>
      <w:r>
        <w:rPr>
          <w:rStyle w:val="BodyText"/>
        </w:rPr>
        <w:t>Ce sera une séance de travail de la piste de travail 5 du PDP relatif aux procédures pour des séries ultérieures de nouveaux gTLD.</w:t>
      </w:r>
    </w:p>
    <w:p w14:paraId="43061778" w14:textId="77777777" w:rsidR="004D31DA" w:rsidRPr="00C92937" w:rsidRDefault="004D31DA" w:rsidP="004D31DA">
      <w:pPr>
        <w:pStyle w:val="BodyText"/>
        <w:rPr>
          <w:u w:val="single"/>
        </w:rPr>
      </w:pPr>
      <w:r>
        <w:rPr>
          <w:rStyle w:val="BodyText"/>
          <w:u w:val="single"/>
        </w:rPr>
        <w:t xml:space="preserve">Jeudi 28 juin : </w:t>
      </w:r>
      <w:r w:rsidR="004A485C">
        <w:rPr>
          <w:rStyle w:val="BodyText"/>
          <w:u w:val="single"/>
        </w:rPr>
        <w:t>s</w:t>
      </w:r>
      <w:r>
        <w:rPr>
          <w:rStyle w:val="BodyText"/>
          <w:u w:val="single"/>
        </w:rPr>
        <w:t>pécification temporaire pour les données d</w:t>
      </w:r>
      <w:r>
        <w:rPr>
          <w:rStyle w:val="BodyText"/>
          <w:rFonts w:cs="Century Gothic"/>
          <w:u w:val="single"/>
          <w:cs/>
        </w:rPr>
        <w:t>’</w:t>
      </w:r>
      <w:r>
        <w:rPr>
          <w:rStyle w:val="BodyText"/>
          <w:u w:val="single"/>
        </w:rPr>
        <w:t>enregistrement des gTLD</w:t>
      </w:r>
    </w:p>
    <w:p w14:paraId="5BBF2425" w14:textId="77777777" w:rsidR="004D31DA" w:rsidRDefault="004D31DA" w:rsidP="004D31DA">
      <w:pPr>
        <w:pStyle w:val="BodyText"/>
      </w:pPr>
      <w:r>
        <w:rPr>
          <w:rStyle w:val="BodyText"/>
        </w:rPr>
        <w:t>Ce sera une présentation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équipe de direction de la GNSO sur les prochaines étapes du processus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élaboration de politiques sur cette question.</w:t>
      </w:r>
    </w:p>
    <w:p w14:paraId="4EDA7934" w14:textId="77777777" w:rsidR="004D31DA" w:rsidRPr="00644167" w:rsidRDefault="004D31DA" w:rsidP="004D31DA">
      <w:pPr>
        <w:pStyle w:val="BodyText"/>
        <w:rPr>
          <w:b/>
        </w:rPr>
      </w:pPr>
      <w:r>
        <w:rPr>
          <w:rStyle w:val="BodyText"/>
          <w:b/>
        </w:rPr>
        <w:t>Élections du GAC</w:t>
      </w:r>
    </w:p>
    <w:p w14:paraId="2E68B0F5" w14:textId="77777777" w:rsidR="004D31DA" w:rsidRPr="00C92937" w:rsidRDefault="004D31DA" w:rsidP="004D31DA">
      <w:pPr>
        <w:pStyle w:val="BodyText"/>
      </w:pPr>
      <w:r>
        <w:rPr>
          <w:rStyle w:val="BodyText"/>
        </w:rPr>
        <w:t>Voir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information au point 24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ordre du jour.</w:t>
      </w:r>
    </w:p>
    <w:p w14:paraId="01598485" w14:textId="77777777" w:rsidR="004D31DA" w:rsidRDefault="004D31DA" w:rsidP="004D31DA">
      <w:pPr>
        <w:pStyle w:val="Heading2"/>
      </w:pPr>
      <w:r>
        <w:rPr>
          <w:rStyle w:val="Heading2"/>
        </w:rPr>
        <w:t>Informations complémentaires</w:t>
      </w:r>
    </w:p>
    <w:p w14:paraId="623D89CD" w14:textId="77777777" w:rsidR="004D31DA" w:rsidRDefault="004D31DA" w:rsidP="004D31DA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  <w:r>
        <w:rPr>
          <w:rStyle w:val="Normal"/>
          <w:rFonts w:ascii="Century Gothic" w:hAnsi="Century Gothic"/>
          <w:color w:val="000000"/>
          <w:sz w:val="20"/>
        </w:rPr>
        <w:t>Application mobile pour la réunion ICANN 62 : elle peut être téléchargée de vos sites préférés d</w:t>
      </w:r>
      <w:r>
        <w:rPr>
          <w:rStyle w:val="Normal"/>
          <w:rFonts w:ascii="Century Gothic" w:hAnsi="Century Gothic" w:cs="Century Gothic"/>
          <w:color w:val="000000"/>
          <w:sz w:val="20"/>
          <w:cs/>
        </w:rPr>
        <w:t>’</w:t>
      </w:r>
      <w:r>
        <w:rPr>
          <w:rStyle w:val="Normal"/>
          <w:rFonts w:ascii="Century Gothic" w:hAnsi="Century Gothic"/>
          <w:color w:val="000000"/>
          <w:sz w:val="20"/>
        </w:rPr>
        <w:t>IOS ou Android.</w:t>
      </w:r>
    </w:p>
    <w:p w14:paraId="6DDC731C" w14:textId="77777777" w:rsidR="004D31DA" w:rsidRDefault="004D31DA" w:rsidP="004D31DA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</w:p>
    <w:p w14:paraId="3D38E538" w14:textId="77777777" w:rsidR="004D31DA" w:rsidRDefault="004D31DA" w:rsidP="004D31DA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  <w:hyperlink r:id="rId8" w:history="1">
        <w:r>
          <w:rPr>
            <w:rStyle w:val="Hyperlink"/>
            <w:rFonts w:ascii="Century Gothic" w:hAnsi="Century Gothic"/>
            <w:sz w:val="20"/>
          </w:rPr>
          <w:t>Page de la réunion ICANN 62</w:t>
        </w:r>
      </w:hyperlink>
    </w:p>
    <w:p w14:paraId="4ABE6C7C" w14:textId="77777777" w:rsidR="004D31DA" w:rsidRDefault="004D31DA" w:rsidP="004D31DA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</w:p>
    <w:p w14:paraId="0654B468" w14:textId="77777777" w:rsidR="004D31DA" w:rsidRPr="00E545AD" w:rsidRDefault="004D31DA" w:rsidP="004D31DA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  <w:hyperlink r:id="rId9" w:history="1">
        <w:r>
          <w:rPr>
            <w:rStyle w:val="Hyperlink"/>
            <w:rFonts w:ascii="Century Gothic" w:hAnsi="Century Gothic"/>
            <w:sz w:val="20"/>
          </w:rPr>
          <w:t>Programme de la réunion ICANN 62</w:t>
        </w:r>
      </w:hyperlink>
    </w:p>
    <w:p w14:paraId="7A99A7B6" w14:textId="77777777" w:rsidR="004D31DA" w:rsidRDefault="004D31DA" w:rsidP="004D31DA">
      <w:pPr>
        <w:pStyle w:val="BodyText"/>
        <w:rPr>
          <w:szCs w:val="20"/>
        </w:rPr>
      </w:pPr>
    </w:p>
    <w:p w14:paraId="73C3D837" w14:textId="77777777" w:rsidR="004D31DA" w:rsidRPr="00E545AD" w:rsidRDefault="004D31DA" w:rsidP="004D31DA">
      <w:pPr>
        <w:pStyle w:val="BodyText"/>
        <w:rPr>
          <w:szCs w:val="20"/>
        </w:rPr>
      </w:pPr>
    </w:p>
    <w:p w14:paraId="3B4AB3C9" w14:textId="77777777" w:rsidR="004D31DA" w:rsidRDefault="004D31DA" w:rsidP="004D31DA">
      <w:pPr>
        <w:pStyle w:val="Heading2"/>
      </w:pPr>
      <w:bookmarkStart w:id="1" w:name="_Hlk484433727"/>
      <w:r>
        <w:rPr>
          <w:rStyle w:val="Heading2"/>
        </w:rPr>
        <w:lastRenderedPageBreak/>
        <w:t>Gestion des documents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D31DA" w:rsidRPr="003F43E3" w14:paraId="3E70E5EC" w14:textId="77777777" w:rsidTr="004D31DA">
        <w:tc>
          <w:tcPr>
            <w:tcW w:w="3261" w:type="dxa"/>
            <w:vAlign w:val="center"/>
          </w:tcPr>
          <w:p w14:paraId="3BDFFEF6" w14:textId="77777777" w:rsidR="004D31DA" w:rsidRPr="002C5730" w:rsidRDefault="004D31DA" w:rsidP="004D31DA">
            <w:pPr>
              <w:ind w:right="-132"/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Titre</w:t>
            </w:r>
          </w:p>
        </w:tc>
        <w:tc>
          <w:tcPr>
            <w:tcW w:w="5811" w:type="dxa"/>
            <w:vAlign w:val="center"/>
          </w:tcPr>
          <w:p w14:paraId="1B44EE26" w14:textId="77777777" w:rsidR="004D31DA" w:rsidRPr="002C5730" w:rsidRDefault="004D31DA" w:rsidP="004D31DA">
            <w:pPr>
              <w:ind w:right="545"/>
              <w:rPr>
                <w:rFonts w:ascii="Century Gothic" w:eastAsia="MS Mincho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Séance plénière d</w:t>
            </w:r>
            <w:r>
              <w:rPr>
                <w:rStyle w:val="Normal"/>
                <w:rFonts w:ascii="Century Gothic" w:hAnsi="Century Gothic" w:cs="Century Gothic"/>
                <w:sz w:val="20"/>
                <w:cs/>
              </w:rPr>
              <w:t>’</w:t>
            </w:r>
            <w:r>
              <w:rPr>
                <w:rStyle w:val="Normal"/>
                <w:rFonts w:ascii="Century Gothic" w:hAnsi="Century Gothic"/>
                <w:sz w:val="20"/>
              </w:rPr>
              <w:t>ouverture</w:t>
            </w:r>
          </w:p>
        </w:tc>
      </w:tr>
      <w:tr w:rsidR="004D31DA" w:rsidRPr="003F43E3" w14:paraId="2A5E40CD" w14:textId="77777777" w:rsidTr="004D31DA">
        <w:tc>
          <w:tcPr>
            <w:tcW w:w="3261" w:type="dxa"/>
            <w:vAlign w:val="center"/>
          </w:tcPr>
          <w:p w14:paraId="0C315878" w14:textId="77777777" w:rsidR="004D31DA" w:rsidRPr="002C5730" w:rsidRDefault="004D31DA" w:rsidP="004D31DA">
            <w:pPr>
              <w:ind w:right="-132"/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Distribution</w:t>
            </w:r>
          </w:p>
        </w:tc>
        <w:tc>
          <w:tcPr>
            <w:tcW w:w="5811" w:type="dxa"/>
            <w:vAlign w:val="center"/>
          </w:tcPr>
          <w:p w14:paraId="5C1B9CE1" w14:textId="77777777" w:rsidR="004D31DA" w:rsidRPr="002C5730" w:rsidRDefault="004D31DA" w:rsidP="004D31DA">
            <w:pPr>
              <w:ind w:right="545"/>
              <w:rPr>
                <w:rFonts w:ascii="Century Gothic" w:eastAsia="MS Mincho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Membres du GAC</w:t>
            </w:r>
          </w:p>
        </w:tc>
      </w:tr>
      <w:tr w:rsidR="004D31DA" w:rsidRPr="003F43E3" w14:paraId="1B8F4D65" w14:textId="77777777" w:rsidTr="004D31DA">
        <w:tc>
          <w:tcPr>
            <w:tcW w:w="3261" w:type="dxa"/>
            <w:vAlign w:val="center"/>
          </w:tcPr>
          <w:p w14:paraId="7CE8C2E0" w14:textId="77777777" w:rsidR="004D31DA" w:rsidRPr="002C5730" w:rsidRDefault="004D31DA" w:rsidP="004D31DA">
            <w:pPr>
              <w:ind w:right="-132"/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Date de distribution</w:t>
            </w:r>
          </w:p>
        </w:tc>
        <w:tc>
          <w:tcPr>
            <w:tcW w:w="5811" w:type="dxa"/>
            <w:vAlign w:val="center"/>
          </w:tcPr>
          <w:p w14:paraId="0888F361" w14:textId="77777777" w:rsidR="004D31DA" w:rsidRPr="002C5730" w:rsidRDefault="004D31DA" w:rsidP="004D31DA">
            <w:pPr>
              <w:ind w:right="545"/>
              <w:rPr>
                <w:rFonts w:ascii="Century Gothic" w:eastAsia="MS Mincho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6 juin 2018</w:t>
            </w:r>
          </w:p>
          <w:p w14:paraId="08ED8837" w14:textId="77777777" w:rsidR="004D31DA" w:rsidRPr="002C5730" w:rsidRDefault="004D31DA" w:rsidP="004D31DA">
            <w:pPr>
              <w:ind w:right="545"/>
              <w:rPr>
                <w:rFonts w:ascii="Century Gothic" w:eastAsia="MS Mincho" w:hAnsi="Century Gothic"/>
                <w:sz w:val="20"/>
                <w:szCs w:val="20"/>
              </w:rPr>
            </w:pPr>
          </w:p>
        </w:tc>
      </w:tr>
      <w:bookmarkEnd w:id="1"/>
    </w:tbl>
    <w:p w14:paraId="6398E3FF" w14:textId="77777777" w:rsidR="004D31DA" w:rsidRPr="00CF56FA" w:rsidRDefault="004D31DA" w:rsidP="004D31DA">
      <w:pPr>
        <w:pStyle w:val="BodyText"/>
        <w:ind w:right="545"/>
        <w:rPr>
          <w:color w:val="000000"/>
          <w:szCs w:val="20"/>
        </w:rPr>
      </w:pPr>
    </w:p>
    <w:sectPr w:rsidR="004D31DA" w:rsidRPr="00CF56FA" w:rsidSect="004D31DA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59D38" w14:textId="77777777" w:rsidR="00347E6E" w:rsidRDefault="00347E6E" w:rsidP="004D31DA">
      <w:r>
        <w:separator/>
      </w:r>
    </w:p>
  </w:endnote>
  <w:endnote w:type="continuationSeparator" w:id="0">
    <w:p w14:paraId="34618FF3" w14:textId="77777777" w:rsidR="00347E6E" w:rsidRDefault="00347E6E" w:rsidP="004D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B02B" w14:textId="77777777" w:rsidR="004D31DA" w:rsidRDefault="004D31DA" w:rsidP="004D31DA">
    <w:pPr>
      <w:pStyle w:val="Footer"/>
      <w:ind w:left="-567" w:right="261"/>
    </w:pPr>
  </w:p>
  <w:p w14:paraId="5DF345CC" w14:textId="77777777" w:rsidR="004D31DA" w:rsidRPr="00B026C8" w:rsidRDefault="004D31DA" w:rsidP="004D31DA">
    <w:pPr>
      <w:pBdr>
        <w:top w:val="single" w:sz="18" w:space="1" w:color="1F497D"/>
      </w:pBdr>
      <w:spacing w:before="240"/>
      <w:ind w:right="261"/>
      <w:rPr>
        <w:rFonts w:ascii="Century Gothic" w:hAnsi="Century Gothic"/>
        <w:color w:val="00408E"/>
      </w:rPr>
    </w:pP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  <w:t xml:space="preserve">      </w:t>
    </w:r>
    <w:r>
      <w:rPr>
        <w:rStyle w:val="Normal"/>
        <w:rFonts w:ascii="Century Gothic" w:hAnsi="Century Gothic"/>
        <w:color w:val="00408E"/>
        <w:sz w:val="16"/>
      </w:rPr>
      <w:tab/>
      <w:t xml:space="preserve">                </w:t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  <w:t xml:space="preserve">                 </w:t>
    </w:r>
    <w:r>
      <w:rPr>
        <w:rStyle w:val="Normal"/>
        <w:rFonts w:ascii="Century Gothic" w:hAnsi="Century Gothic"/>
        <w:color w:val="00408E"/>
        <w:sz w:val="16"/>
      </w:rPr>
      <w:tab/>
      <w:t xml:space="preserve"> Page </w:t>
    </w:r>
    <w:r>
      <w:rPr>
        <w:rStyle w:val="Normal"/>
        <w:rFonts w:ascii="Century Gothic" w:hAnsi="Century Gothic"/>
        <w:color w:val="00408E"/>
        <w:sz w:val="16"/>
      </w:rPr>
      <w:fldChar w:fldCharType="begin"/>
    </w:r>
    <w:r>
      <w:rPr>
        <w:rStyle w:val="Normal"/>
        <w:rFonts w:ascii="Century Gothic" w:hAnsi="Century Gothic"/>
        <w:color w:val="00408E"/>
        <w:sz w:val="16"/>
      </w:rPr>
      <w:instrText xml:space="preserve"> PAGE </w:instrText>
    </w:r>
    <w:r>
      <w:rPr>
        <w:rStyle w:val="Normal"/>
        <w:rFonts w:ascii="Century Gothic" w:hAnsi="Century Gothic"/>
        <w:color w:val="00408E"/>
        <w:sz w:val="16"/>
      </w:rPr>
      <w:fldChar w:fldCharType="separate"/>
    </w:r>
    <w:r>
      <w:rPr>
        <w:rStyle w:val="Normal"/>
        <w:rFonts w:ascii="Century Gothic" w:hAnsi="Century Gothic"/>
        <w:color w:val="00408E"/>
        <w:sz w:val="16"/>
      </w:rPr>
      <w:t>2</w:t>
    </w:r>
    <w:r>
      <w:rPr>
        <w:rStyle w:val="Normal"/>
        <w:rFonts w:ascii="Century Gothic" w:hAnsi="Century Gothic"/>
        <w:color w:val="00408E"/>
        <w:sz w:val="16"/>
      </w:rPr>
      <w:fldChar w:fldCharType="end"/>
    </w:r>
    <w:r>
      <w:rPr>
        <w:rStyle w:val="Normal"/>
        <w:rFonts w:ascii="Century Gothic" w:hAnsi="Century Gothic"/>
        <w:color w:val="00408E"/>
        <w:sz w:val="16"/>
      </w:rPr>
      <w:t xml:space="preserve"> sur </w:t>
    </w:r>
    <w:r>
      <w:rPr>
        <w:rStyle w:val="Normal"/>
        <w:rFonts w:ascii="Century Gothic" w:hAnsi="Century Gothic"/>
        <w:color w:val="00408E"/>
        <w:sz w:val="16"/>
      </w:rPr>
      <w:fldChar w:fldCharType="begin"/>
    </w:r>
    <w:r>
      <w:rPr>
        <w:rStyle w:val="Normal"/>
        <w:rFonts w:ascii="Century Gothic" w:hAnsi="Century Gothic"/>
        <w:color w:val="00408E"/>
        <w:sz w:val="16"/>
      </w:rPr>
      <w:instrText xml:space="preserve"> NUMPAGES  </w:instrText>
    </w:r>
    <w:r>
      <w:rPr>
        <w:rStyle w:val="Normal"/>
        <w:rFonts w:ascii="Century Gothic" w:hAnsi="Century Gothic"/>
        <w:color w:val="00408E"/>
        <w:sz w:val="16"/>
      </w:rPr>
      <w:fldChar w:fldCharType="separate"/>
    </w:r>
    <w:r>
      <w:rPr>
        <w:rStyle w:val="Normal"/>
        <w:rFonts w:ascii="Century Gothic" w:hAnsi="Century Gothic"/>
        <w:color w:val="00408E"/>
        <w:sz w:val="16"/>
      </w:rPr>
      <w:t>2</w:t>
    </w:r>
    <w:r>
      <w:rPr>
        <w:rStyle w:val="Normal"/>
        <w:rFonts w:ascii="Century Gothic" w:hAnsi="Century Gothic"/>
        <w:color w:val="00408E"/>
        <w:sz w:val="16"/>
      </w:rPr>
      <w:fldChar w:fldCharType="end"/>
    </w:r>
  </w:p>
  <w:p w14:paraId="58C99DB1" w14:textId="77777777" w:rsidR="004D31DA" w:rsidRPr="000C0FD7" w:rsidRDefault="004D31DA" w:rsidP="004D31DA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8BA56" w14:textId="77777777" w:rsidR="004D31DA" w:rsidRPr="00C2562C" w:rsidRDefault="004D31DA" w:rsidP="004D31DA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3E614C16" w14:textId="77777777" w:rsidR="004D31DA" w:rsidRPr="004A485C" w:rsidRDefault="004D31DA" w:rsidP="004D31DA">
    <w:pPr>
      <w:pStyle w:val="NoSpacing"/>
      <w:ind w:right="544"/>
      <w:jc w:val="right"/>
      <w:rPr>
        <w:sz w:val="16"/>
        <w:szCs w:val="16"/>
        <w:lang w:val="en-US"/>
      </w:rPr>
    </w:pPr>
    <w:r w:rsidRPr="004A485C">
      <w:rPr>
        <w:rStyle w:val="NoSpacing"/>
        <w:sz w:val="16"/>
        <w:lang w:val="en-US"/>
      </w:rPr>
      <w:t xml:space="preserve">203 Drummond Street, Carlton VIC 3053 </w:t>
    </w:r>
  </w:p>
  <w:p w14:paraId="35B0AF7A" w14:textId="77777777" w:rsidR="004D31DA" w:rsidRPr="004A485C" w:rsidRDefault="004D31DA" w:rsidP="004D31DA">
    <w:pPr>
      <w:pStyle w:val="NoSpacing"/>
      <w:ind w:right="544"/>
      <w:jc w:val="right"/>
      <w:rPr>
        <w:sz w:val="16"/>
        <w:szCs w:val="16"/>
        <w:lang w:val="en-US"/>
      </w:rPr>
    </w:pPr>
    <w:r w:rsidRPr="004A485C">
      <w:rPr>
        <w:rStyle w:val="NoSpacing"/>
        <w:sz w:val="16"/>
        <w:lang w:val="en-US"/>
      </w:rPr>
      <w:t>03 9650 7222</w:t>
    </w:r>
  </w:p>
  <w:p w14:paraId="564899BC" w14:textId="77777777" w:rsidR="004D31DA" w:rsidRPr="004A485C" w:rsidRDefault="004D31DA" w:rsidP="004D31DA">
    <w:pPr>
      <w:pStyle w:val="NoSpacing"/>
      <w:ind w:right="544"/>
      <w:jc w:val="right"/>
      <w:rPr>
        <w:sz w:val="16"/>
        <w:szCs w:val="16"/>
        <w:lang w:val="en-US"/>
      </w:rPr>
    </w:pPr>
    <w:r w:rsidRPr="004A485C">
      <w:rPr>
        <w:rStyle w:val="NoSpacing"/>
        <w:sz w:val="16"/>
        <w:lang w:val="en-US"/>
      </w:rPr>
      <w:t xml:space="preserve">www.acig.com.au </w:t>
    </w:r>
  </w:p>
  <w:p w14:paraId="3A3EA6E6" w14:textId="77777777" w:rsidR="004D31DA" w:rsidRPr="004A485C" w:rsidRDefault="004D31DA" w:rsidP="004D31DA">
    <w:pPr>
      <w:pStyle w:val="Footer"/>
      <w:jc w:val="center"/>
      <w:rPr>
        <w:color w:val="00408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20079" w14:textId="77777777" w:rsidR="00347E6E" w:rsidRDefault="00347E6E" w:rsidP="004D31DA">
      <w:r>
        <w:separator/>
      </w:r>
    </w:p>
  </w:footnote>
  <w:footnote w:type="continuationSeparator" w:id="0">
    <w:p w14:paraId="46062D2A" w14:textId="77777777" w:rsidR="00347E6E" w:rsidRDefault="00347E6E" w:rsidP="004D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BAC6" w14:textId="5EC56DB5" w:rsidR="004D31DA" w:rsidRDefault="001E3486" w:rsidP="004D31DA">
    <w:pPr>
      <w:pStyle w:val="Header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3FCB1E" wp14:editId="50A18057">
              <wp:simplePos x="0" y="0"/>
              <wp:positionH relativeFrom="column">
                <wp:posOffset>4273550</wp:posOffset>
              </wp:positionH>
              <wp:positionV relativeFrom="paragraph">
                <wp:posOffset>216535</wp:posOffset>
              </wp:positionV>
              <wp:extent cx="1663700" cy="2978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2C602035" w14:textId="77777777" w:rsidR="004D31DA" w:rsidRPr="00A12C22" w:rsidRDefault="004D31DA" w:rsidP="004D31DA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Normal"/>
                              <w:rFonts w:ascii="Arial Narrow" w:hAnsi="Arial Narrow"/>
                              <w:color w:val="C00000"/>
                              <w:sz w:val="32"/>
                            </w:rPr>
                            <w:t>Secrétariat du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FCB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6.5pt;margin-top:17.05pt;width:131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" stroked="f">
              <v:textbox>
                <w:txbxContent>
                  <w:p w14:paraId="2C602035" w14:textId="77777777" w:rsidR="004D31DA" w:rsidRPr="00A12C22" w:rsidRDefault="004D31DA" w:rsidP="004D31DA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Style w:val="Normal"/>
                        <w:rFonts w:ascii="Arial Narrow" w:hAnsi="Arial Narrow"/>
                        <w:color w:val="C00000"/>
                        <w:sz w:val="32"/>
                      </w:rPr>
                      <w:t>Secrétariat du GAC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4E7172F" wp14:editId="37F8C781">
          <wp:extent cx="424180" cy="271780"/>
          <wp:effectExtent l="0" t="0" r="0" b="0"/>
          <wp:docPr id="1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31DA">
      <w:rPr>
        <w:rStyle w:val="Header"/>
      </w:rPr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D0E4" w14:textId="569D8363" w:rsidR="004D31DA" w:rsidRDefault="001E3486" w:rsidP="004D31DA">
    <w:pPr>
      <w:pStyle w:val="Header"/>
      <w:tabs>
        <w:tab w:val="clear" w:pos="9360"/>
      </w:tabs>
      <w:ind w:left="-851"/>
      <w:jc w:val="center"/>
    </w:pPr>
    <w:r>
      <w:rPr>
        <w:noProof/>
      </w:rPr>
      <w:drawing>
        <wp:inline distT="0" distB="0" distL="0" distR="0" wp14:anchorId="60715BA3" wp14:editId="67843977">
          <wp:extent cx="3053080" cy="790575"/>
          <wp:effectExtent l="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08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B64DA"/>
    <w:multiLevelType w:val="hybridMultilevel"/>
    <w:tmpl w:val="9FD2A97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00F5E"/>
    <w:multiLevelType w:val="hybridMultilevel"/>
    <w:tmpl w:val="72A6D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33AD2"/>
    <w:multiLevelType w:val="hybridMultilevel"/>
    <w:tmpl w:val="8C18E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B7688"/>
    <w:multiLevelType w:val="hybridMultilevel"/>
    <w:tmpl w:val="3878CFF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CB15D59"/>
    <w:multiLevelType w:val="hybridMultilevel"/>
    <w:tmpl w:val="D99E0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334EA"/>
    <w:multiLevelType w:val="hybridMultilevel"/>
    <w:tmpl w:val="427E68D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C1D81"/>
    <w:multiLevelType w:val="hybridMultilevel"/>
    <w:tmpl w:val="3E7477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7523C5"/>
    <w:multiLevelType w:val="hybridMultilevel"/>
    <w:tmpl w:val="039E107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41F29"/>
    <w:multiLevelType w:val="hybridMultilevel"/>
    <w:tmpl w:val="2F461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245BD"/>
    <w:multiLevelType w:val="hybridMultilevel"/>
    <w:tmpl w:val="3446D7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A7D23"/>
    <w:multiLevelType w:val="hybridMultilevel"/>
    <w:tmpl w:val="0F442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F5318"/>
    <w:multiLevelType w:val="hybridMultilevel"/>
    <w:tmpl w:val="A88A34A0"/>
    <w:lvl w:ilvl="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3" w15:restartNumberingAfterBreak="0">
    <w:nsid w:val="6E520D26"/>
    <w:multiLevelType w:val="hybridMultilevel"/>
    <w:tmpl w:val="403A67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1040D"/>
    <w:multiLevelType w:val="hybridMultilevel"/>
    <w:tmpl w:val="4516B1A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70E36"/>
    <w:multiLevelType w:val="hybridMultilevel"/>
    <w:tmpl w:val="DA86DF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2"/>
  </w:num>
  <w:num w:numId="13">
    <w:abstractNumId w:val="21"/>
  </w:num>
  <w:num w:numId="14">
    <w:abstractNumId w:val="12"/>
  </w:num>
  <w:num w:numId="15">
    <w:abstractNumId w:val="18"/>
  </w:num>
  <w:num w:numId="16">
    <w:abstractNumId w:val="20"/>
  </w:num>
  <w:num w:numId="17">
    <w:abstractNumId w:val="10"/>
  </w:num>
  <w:num w:numId="18">
    <w:abstractNumId w:val="15"/>
  </w:num>
  <w:num w:numId="19">
    <w:abstractNumId w:val="23"/>
  </w:num>
  <w:num w:numId="20">
    <w:abstractNumId w:val="11"/>
  </w:num>
  <w:num w:numId="21">
    <w:abstractNumId w:val="24"/>
  </w:num>
  <w:num w:numId="22">
    <w:abstractNumId w:val="19"/>
  </w:num>
  <w:num w:numId="23">
    <w:abstractNumId w:val="25"/>
  </w:num>
  <w:num w:numId="24">
    <w:abstractNumId w:val="14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1E3486"/>
    <w:rsid w:val="00347E6E"/>
    <w:rsid w:val="004A485C"/>
    <w:rsid w:val="004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798B6F"/>
  <w15:docId w15:val="{07BB1500-D962-4F4B-A685-B8E9E9B0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CEE"/>
    <w:rPr>
      <w:rFonts w:ascii="Calibri" w:eastAsia="Times New Roman" w:hAnsi="Calibri"/>
      <w:sz w:val="24"/>
      <w:szCs w:val="24"/>
      <w:lang w:val="fr-FR" w:eastAsia="fr-FR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val="fr-FR" w:eastAsia="fr-FR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E2665"/>
    <w:rPr>
      <w:b/>
      <w:color w:val="1F4E79"/>
      <w:sz w:val="24"/>
      <w:szCs w:val="24"/>
      <w:lang w:val="fr-FR" w:eastAsia="fr-FR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1076"/>
    <w:rPr>
      <w:rFonts w:ascii="Century Gothic" w:hAnsi="Century Gothic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FooterChar">
    <w:name w:val="Footer Char"/>
    <w:link w:val="Footer"/>
    <w:uiPriority w:val="99"/>
    <w:rsid w:val="00A24449"/>
    <w:rPr>
      <w:rFonts w:ascii="Century Gothic" w:hAnsi="Century Gothic"/>
      <w:szCs w:val="22"/>
      <w:lang w:val="fr-FR" w:eastAsia="fr-FR"/>
    </w:rPr>
  </w:style>
  <w:style w:type="character" w:customStyle="1" w:styleId="Heading1Char">
    <w:name w:val="Heading 1 Char"/>
    <w:link w:val="Heading1"/>
    <w:uiPriority w:val="9"/>
    <w:rsid w:val="00CF4E9A"/>
    <w:rPr>
      <w:b/>
      <w:color w:val="00408E"/>
      <w:sz w:val="28"/>
      <w:szCs w:val="28"/>
      <w:lang w:val="fr-FR" w:eastAsia="fr-FR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val="fr-FR" w:eastAsia="fr-FR"/>
    </w:rPr>
  </w:style>
  <w:style w:type="character" w:customStyle="1" w:styleId="BodyTextChar">
    <w:name w:val="Body Text Char"/>
    <w:link w:val="BodyText"/>
    <w:uiPriority w:val="99"/>
    <w:rsid w:val="004E22C7"/>
    <w:rPr>
      <w:szCs w:val="22"/>
      <w:lang w:val="fr-FR" w:eastAsia="fr-FR" w:bidi="ar-SA"/>
    </w:rPr>
  </w:style>
  <w:style w:type="character" w:customStyle="1" w:styleId="TitleChar">
    <w:name w:val="Title Char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fr-FR" w:eastAsia="fr-FR"/>
    </w:rPr>
  </w:style>
  <w:style w:type="character" w:styleId="Hyperlink">
    <w:name w:val="Hyperlink"/>
    <w:uiPriority w:val="99"/>
    <w:unhideWhenUsed/>
    <w:rsid w:val="0072423D"/>
    <w:rPr>
      <w:color w:val="0000FF"/>
      <w:u w:val="single"/>
      <w:lang w:val="fr-FR" w:eastAsia="fr-FR"/>
    </w:rPr>
  </w:style>
  <w:style w:type="character" w:customStyle="1" w:styleId="Heading3Char">
    <w:name w:val="Heading 3 Char"/>
    <w:link w:val="Heading3"/>
    <w:uiPriority w:val="9"/>
    <w:rsid w:val="00CF4E9A"/>
    <w:rPr>
      <w:b/>
      <w:color w:val="00408E"/>
      <w:szCs w:val="22"/>
      <w:lang w:val="fr-FR" w:eastAsia="fr-FR"/>
    </w:rPr>
  </w:style>
  <w:style w:type="character" w:customStyle="1" w:styleId="Heading4Char">
    <w:name w:val="Heading 4 Char"/>
    <w:link w:val="Heading4"/>
    <w:uiPriority w:val="9"/>
    <w:rsid w:val="004E22C7"/>
    <w:rPr>
      <w:color w:val="00408E"/>
      <w:szCs w:val="22"/>
      <w:lang w:val="fr-FR" w:eastAsia="fr-FR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</w:style>
  <w:style w:type="character" w:customStyle="1" w:styleId="FootnoteTextChar">
    <w:name w:val="Footnote Text Char"/>
    <w:link w:val="FootnoteText"/>
    <w:uiPriority w:val="99"/>
    <w:rsid w:val="00406CEE"/>
    <w:rPr>
      <w:rFonts w:ascii="Calibri" w:eastAsia="Times New Roman" w:hAnsi="Calibri" w:cs="Times New Roman"/>
      <w:sz w:val="24"/>
      <w:szCs w:val="24"/>
      <w:lang w:val="fr-FR" w:eastAsia="fr-FR"/>
    </w:rPr>
  </w:style>
  <w:style w:type="character" w:styleId="FootnoteReference">
    <w:name w:val="footnote reference"/>
    <w:uiPriority w:val="99"/>
    <w:unhideWhenUsed/>
    <w:rsid w:val="00406CEE"/>
    <w:rPr>
      <w:vertAlign w:val="superscript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FollowedHyperlink">
    <w:name w:val="FollowedHyperlink"/>
    <w:uiPriority w:val="99"/>
    <w:semiHidden/>
    <w:unhideWhenUsed/>
    <w:rsid w:val="001A3B02"/>
    <w:rPr>
      <w:color w:val="954F72"/>
      <w:u w:val="single"/>
      <w:lang w:val="fr-FR" w:eastAsia="fr-FR"/>
    </w:rPr>
  </w:style>
  <w:style w:type="character" w:styleId="UnresolvedMention">
    <w:name w:val="Unresolved Mention"/>
    <w:uiPriority w:val="99"/>
    <w:rsid w:val="001703E0"/>
    <w:rPr>
      <w:color w:val="80808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2.schedule.icann.org/meeting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62.schedule.icann.org/meeting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62CD-7742-41F5-B190-3BFC7415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/>
  <LinksUpToDate>false</LinksUpToDate>
  <CharactersWithSpaces>3501</CharactersWithSpaces>
  <SharedDoc>false</SharedDoc>
  <HLinks>
    <vt:vector size="12" baseType="variant">
      <vt:variant>
        <vt:i4>7077926</vt:i4>
      </vt:variant>
      <vt:variant>
        <vt:i4>3</vt:i4>
      </vt:variant>
      <vt:variant>
        <vt:i4>0</vt:i4>
      </vt:variant>
      <vt:variant>
        <vt:i4>5</vt:i4>
      </vt:variant>
      <vt:variant>
        <vt:lpwstr>https://62.schedule.icann.org/meetings</vt:lpwstr>
      </vt:variant>
      <vt:variant>
        <vt:lpwstr/>
      </vt:variant>
      <vt:variant>
        <vt:i4>7077926</vt:i4>
      </vt:variant>
      <vt:variant>
        <vt:i4>0</vt:i4>
      </vt:variant>
      <vt:variant>
        <vt:i4>0</vt:i4>
      </vt:variant>
      <vt:variant>
        <vt:i4>5</vt:i4>
      </vt:variant>
      <vt:variant>
        <vt:lpwstr>https://62.schedule.icann.org/meetings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keywords/>
  <cp:lastModifiedBy>LS Pros</cp:lastModifiedBy>
  <cp:revision>2</cp:revision>
  <cp:lastPrinted>2013-11-27T05:14:00Z</cp:lastPrinted>
  <dcterms:created xsi:type="dcterms:W3CDTF">2018-06-19T14:35:00Z</dcterms:created>
  <dcterms:modified xsi:type="dcterms:W3CDTF">2018-06-19T14:35:00Z</dcterms:modified>
</cp:coreProperties>
</file>